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E6" w:rsidRDefault="003374FA" w:rsidP="00A9289A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-446776</wp:posOffset>
            </wp:positionH>
            <wp:positionV relativeFrom="paragraph">
              <wp:posOffset>-457200</wp:posOffset>
            </wp:positionV>
            <wp:extent cx="7468678" cy="10394350"/>
            <wp:effectExtent l="19050" t="0" r="0" b="0"/>
            <wp:wrapNone/>
            <wp:docPr id="2" name="Рисунок 1" descr="Д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1.JPG"/>
                    <pic:cNvPicPr/>
                  </pic:nvPicPr>
                  <pic:blipFill>
                    <a:blip r:embed="rId4" cstate="print"/>
                    <a:srcRect r="1130"/>
                    <a:stretch>
                      <a:fillRect/>
                    </a:stretch>
                  </pic:blipFill>
                  <pic:spPr>
                    <a:xfrm>
                      <a:off x="0" y="0"/>
                      <a:ext cx="7469400" cy="1039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FE6" w:rsidRDefault="00F95FE6">
      <w:pPr>
        <w:spacing w:after="200" w:line="276" w:lineRule="auto"/>
      </w:pPr>
      <w:r>
        <w:br w:type="page"/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lastRenderedPageBreak/>
        <w:t xml:space="preserve">2.10. Горячее питание учащихся осуществляется после </w:t>
      </w:r>
      <w:r w:rsidR="002D3EC4" w:rsidRPr="00A77915">
        <w:rPr>
          <w:color w:val="595959" w:themeColor="text1" w:themeTint="A6"/>
        </w:rPr>
        <w:t>2</w:t>
      </w:r>
      <w:r w:rsidRPr="00A77915">
        <w:rPr>
          <w:color w:val="595959" w:themeColor="text1" w:themeTint="A6"/>
        </w:rPr>
        <w:t xml:space="preserve">-го </w:t>
      </w:r>
      <w:r w:rsidR="00E176BA" w:rsidRPr="00A77915">
        <w:rPr>
          <w:color w:val="595959" w:themeColor="text1" w:themeTint="A6"/>
        </w:rPr>
        <w:t xml:space="preserve">и </w:t>
      </w:r>
      <w:r w:rsidR="002D3EC4" w:rsidRPr="00A77915">
        <w:rPr>
          <w:color w:val="595959" w:themeColor="text1" w:themeTint="A6"/>
        </w:rPr>
        <w:t>3</w:t>
      </w:r>
      <w:r w:rsidR="00E176BA" w:rsidRPr="00A77915">
        <w:rPr>
          <w:color w:val="595959" w:themeColor="text1" w:themeTint="A6"/>
        </w:rPr>
        <w:t xml:space="preserve">- го </w:t>
      </w:r>
      <w:r w:rsidRPr="00A77915">
        <w:rPr>
          <w:color w:val="595959" w:themeColor="text1" w:themeTint="A6"/>
        </w:rPr>
        <w:t>урок</w:t>
      </w:r>
      <w:r w:rsidR="00E176BA" w:rsidRPr="00A77915">
        <w:rPr>
          <w:color w:val="595959" w:themeColor="text1" w:themeTint="A6"/>
        </w:rPr>
        <w:t>ов</w:t>
      </w:r>
      <w:r w:rsidRPr="00A77915">
        <w:rPr>
          <w:color w:val="595959" w:themeColor="text1" w:themeTint="A6"/>
        </w:rPr>
        <w:t>.</w:t>
      </w:r>
    </w:p>
    <w:p w:rsidR="005905A1" w:rsidRPr="00A77915" w:rsidRDefault="00A9289A" w:rsidP="00A9289A">
      <w:pPr>
        <w:jc w:val="both"/>
        <w:rPr>
          <w:b/>
          <w:color w:val="595959" w:themeColor="text1" w:themeTint="A6"/>
        </w:rPr>
      </w:pPr>
      <w:r w:rsidRPr="00A77915">
        <w:rPr>
          <w:b/>
          <w:color w:val="595959" w:themeColor="text1" w:themeTint="A6"/>
        </w:rPr>
        <w:t>3. Права, обязанности и ответственность учащихся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i/>
          <w:iCs/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3.1. </w:t>
      </w:r>
      <w:r w:rsidRPr="00A77915">
        <w:rPr>
          <w:i/>
          <w:iCs/>
          <w:color w:val="595959" w:themeColor="text1" w:themeTint="A6"/>
        </w:rPr>
        <w:t xml:space="preserve">Учащиеся имеют право </w:t>
      </w:r>
      <w:proofErr w:type="gramStart"/>
      <w:r w:rsidRPr="00A77915">
        <w:rPr>
          <w:i/>
          <w:iCs/>
          <w:color w:val="595959" w:themeColor="text1" w:themeTint="A6"/>
        </w:rPr>
        <w:t>на</w:t>
      </w:r>
      <w:proofErr w:type="gramEnd"/>
      <w:r w:rsidRPr="00A77915">
        <w:rPr>
          <w:i/>
          <w:iCs/>
          <w:color w:val="595959" w:themeColor="text1" w:themeTint="A6"/>
        </w:rPr>
        <w:t>: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3.1.2. </w:t>
      </w:r>
      <w:proofErr w:type="gramStart"/>
      <w:r w:rsidRPr="00A77915">
        <w:rPr>
          <w:color w:val="595959" w:themeColor="text1" w:themeTint="A6"/>
        </w:rPr>
        <w:t>обучение</w:t>
      </w:r>
      <w:proofErr w:type="gramEnd"/>
      <w:r w:rsidRPr="00A77915">
        <w:rPr>
          <w:color w:val="595959" w:themeColor="text1" w:themeTint="A6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3.1.4.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proofErr w:type="gramStart"/>
      <w:r w:rsidRPr="00A77915">
        <w:rPr>
          <w:color w:val="595959" w:themeColor="text1" w:themeTint="A6"/>
        </w:rPr>
        <w:t>3.1.5.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  <w:proofErr w:type="gramEnd"/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3.1.6.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3.1.7.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3.1.8. свободу совести, информации, свободное выражение собственных взглядов и убеждений;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3.1.9. каникулы в соответствии с календарным графиком (п. 2.1-2.2 настоящих Правил);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3.1.10.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3.1.11.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3.1.12. участие в управлении Школой в порядке, установленном Уставом и Положением о Совете старшеклассников;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3.1.13.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3.1.14. обжалование локальных актов Школы в установленном законодательством РФ порядке;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3.1.15.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и спортивной базой Школы;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3.1.16.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3.1.17.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9289A" w:rsidRPr="00A77915" w:rsidRDefault="00A9289A" w:rsidP="00A9289A">
      <w:pPr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3.1.18.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3.1.19.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3.1.20. ношение часов, аксессуаров и скромных неброских украшений, соответствующих деловому стилю одежды;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lastRenderedPageBreak/>
        <w:t>3.1.21. обращение в комиссию по урегулированию споров между участниками образовательных отношений.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i/>
          <w:iCs/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3.2. </w:t>
      </w:r>
      <w:r w:rsidRPr="00A77915">
        <w:rPr>
          <w:i/>
          <w:iCs/>
          <w:color w:val="595959" w:themeColor="text1" w:themeTint="A6"/>
        </w:rPr>
        <w:t>Учащиеся обязаны: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3.2.2. ликвидировать академическую задолженность в сроки, определяемые Школой;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3.2.7. бережно относиться к имуществу Школы;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3.2.8. соблюдать режим организации образовательного процесса, принятый в Школе;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3.2.9. находиться в Школе в сменной обуви (по возможности),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стиля, если иное не предусмотрено иными локальными актами.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3.2.11.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3.2.12. своевременно проходить все необходимые медицинские осмотры.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i/>
          <w:iCs/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3.3. </w:t>
      </w:r>
      <w:r w:rsidRPr="00A77915">
        <w:rPr>
          <w:i/>
          <w:iCs/>
          <w:color w:val="595959" w:themeColor="text1" w:themeTint="A6"/>
        </w:rPr>
        <w:t>Учащимся запрещается: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3.3.3. иметь неряшливый и вызывающий внешний вид;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3.3.4. применять физическую силу в отношении других учащихся, работников Школы и иных лиц;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b/>
          <w:color w:val="595959" w:themeColor="text1" w:themeTint="A6"/>
        </w:rPr>
      </w:pPr>
      <w:r w:rsidRPr="00A77915">
        <w:rPr>
          <w:b/>
          <w:color w:val="595959" w:themeColor="text1" w:themeTint="A6"/>
        </w:rPr>
        <w:t>4. Поощрения и дисциплинарное воздействие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4.1. За образцовое выполнение своих обязанностей, повышение качества </w:t>
      </w:r>
      <w:proofErr w:type="spellStart"/>
      <w:r w:rsidRPr="00A77915">
        <w:rPr>
          <w:color w:val="595959" w:themeColor="text1" w:themeTint="A6"/>
        </w:rPr>
        <w:t>обученности</w:t>
      </w:r>
      <w:proofErr w:type="spellEnd"/>
      <w:r w:rsidRPr="00A77915">
        <w:rPr>
          <w:color w:val="595959" w:themeColor="text1" w:themeTint="A6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A77915">
        <w:rPr>
          <w:color w:val="595959" w:themeColor="text1" w:themeTint="A6"/>
        </w:rPr>
        <w:t>внеучебной</w:t>
      </w:r>
      <w:proofErr w:type="spellEnd"/>
      <w:r w:rsidRPr="00A77915">
        <w:rPr>
          <w:color w:val="595959" w:themeColor="text1" w:themeTint="A6"/>
        </w:rPr>
        <w:t xml:space="preserve"> деятельности к учащимся школы могут быть применены следующие виды поощрений: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объявление благодарности учащемуся;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направление   благодарственного   письма   родителям   (законным представителям) учащегося;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представление к награждению медалью "За особые успехи в учении".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4.2. Процедура применения поощрений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4.2.1. Объявление благодарности учащемуся, направление благодарственного письма родителям (законным представителям)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lastRenderedPageBreak/>
        <w:t>4.2.</w:t>
      </w:r>
      <w:r w:rsidR="00D65037" w:rsidRPr="00A77915">
        <w:rPr>
          <w:color w:val="595959" w:themeColor="text1" w:themeTint="A6"/>
        </w:rPr>
        <w:t>2</w:t>
      </w:r>
      <w:r w:rsidRPr="00A77915">
        <w:rPr>
          <w:color w:val="595959" w:themeColor="text1" w:themeTint="A6"/>
        </w:rPr>
        <w:t>. Награждение медалью "За особые успехи в учении"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"За особые успехи в учении" 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4.3. За нарушение Устава, настоящих Правил и иных локальных нормативных актов Школы к учащимся могут быть применены следующие меры </w:t>
      </w:r>
      <w:r w:rsidR="00804F80" w:rsidRPr="00A77915">
        <w:rPr>
          <w:color w:val="595959" w:themeColor="text1" w:themeTint="A6"/>
        </w:rPr>
        <w:t>педагогического</w:t>
      </w:r>
      <w:r w:rsidRPr="00A77915">
        <w:rPr>
          <w:color w:val="595959" w:themeColor="text1" w:themeTint="A6"/>
        </w:rPr>
        <w:t xml:space="preserve"> воздействия: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меры воспитательного характера;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дисциплинарные взыскания.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4.5. К учащимся могут быть применены следующие меры дисциплинарного взыскания: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замечание;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выговор;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• отчисление из Школы.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 Применение дисциплинарных взысканий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4.6.1. </w:t>
      </w:r>
      <w:proofErr w:type="gramStart"/>
      <w:r w:rsidRPr="00A77915">
        <w:rPr>
          <w:color w:val="595959" w:themeColor="text1" w:themeTint="A6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</w:t>
      </w:r>
      <w:r w:rsidR="00D65037" w:rsidRPr="00A77915">
        <w:rPr>
          <w:color w:val="595959" w:themeColor="text1" w:themeTint="A6"/>
        </w:rPr>
        <w:t>обучающихся</w:t>
      </w:r>
      <w:r w:rsidRPr="00A77915">
        <w:rPr>
          <w:color w:val="595959" w:themeColor="text1" w:themeTint="A6"/>
        </w:rPr>
        <w:t>, педагогического совета, но не более семи учебных дней со дня представления директору Школы мотивированного мнения указанных органов в письменной форме.</w:t>
      </w:r>
      <w:proofErr w:type="gramEnd"/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За каждый дисциплинарный проступок может быть применено только одно дисциплинарное взыскание.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</w:t>
      </w:r>
      <w:r w:rsidR="00D65037" w:rsidRPr="00A77915">
        <w:rPr>
          <w:color w:val="595959" w:themeColor="text1" w:themeTint="A6"/>
        </w:rPr>
        <w:t>урегулированию споров между участниками образовательных отношений.</w:t>
      </w:r>
      <w:r w:rsidRPr="00A77915">
        <w:rPr>
          <w:color w:val="595959" w:themeColor="text1" w:themeTint="A6"/>
        </w:rPr>
        <w:t xml:space="preserve"> Комиссия в своей деятельности руководствуется соответствующим Положением.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4.6.6. </w:t>
      </w:r>
      <w:proofErr w:type="gramStart"/>
      <w:r w:rsidRPr="00A77915">
        <w:rPr>
          <w:color w:val="595959" w:themeColor="text1" w:themeTint="A6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4.6.8. Школа обязана незамедлительно проинформировать отдел образования администрации Рогнединского района об отчислении несовершеннолетнего обучающегося в качестве меры дисциплинарного взыскания.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</w:t>
      </w:r>
      <w:r w:rsidRPr="00A77915">
        <w:rPr>
          <w:color w:val="595959" w:themeColor="text1" w:themeTint="A6"/>
        </w:rPr>
        <w:lastRenderedPageBreak/>
        <w:t>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дисциплинарного взыскания.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</w:t>
      </w:r>
      <w:r w:rsidR="00D65037" w:rsidRPr="00A77915">
        <w:rPr>
          <w:color w:val="595959" w:themeColor="text1" w:themeTint="A6"/>
        </w:rPr>
        <w:t>обучающихся</w:t>
      </w:r>
      <w:r w:rsidRPr="00A77915">
        <w:rPr>
          <w:color w:val="595959" w:themeColor="text1" w:themeTint="A6"/>
        </w:rPr>
        <w:t xml:space="preserve"> или педагогического совета.</w:t>
      </w:r>
    </w:p>
    <w:p w:rsidR="00D65037" w:rsidRPr="00A77915" w:rsidRDefault="00D65037" w:rsidP="00A9289A">
      <w:pPr>
        <w:autoSpaceDE w:val="0"/>
        <w:autoSpaceDN w:val="0"/>
        <w:adjustRightInd w:val="0"/>
        <w:jc w:val="both"/>
        <w:rPr>
          <w:b/>
          <w:color w:val="595959" w:themeColor="text1" w:themeTint="A6"/>
        </w:rPr>
      </w:pP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b/>
          <w:color w:val="595959" w:themeColor="text1" w:themeTint="A6"/>
        </w:rPr>
      </w:pPr>
      <w:r w:rsidRPr="00A77915">
        <w:rPr>
          <w:b/>
          <w:color w:val="595959" w:themeColor="text1" w:themeTint="A6"/>
        </w:rPr>
        <w:t>5. Защита прав учащихся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5.1.1. 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A9289A" w:rsidRPr="00A77915" w:rsidRDefault="00A9289A" w:rsidP="00A9289A">
      <w:pPr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5.1.2. обращаться в комиссию по урегулированию споров между участниками образовательных отношений;</w:t>
      </w:r>
    </w:p>
    <w:p w:rsidR="00A9289A" w:rsidRPr="00A77915" w:rsidRDefault="00A9289A" w:rsidP="00A9289A">
      <w:pPr>
        <w:jc w:val="both"/>
        <w:rPr>
          <w:color w:val="595959" w:themeColor="text1" w:themeTint="A6"/>
        </w:rPr>
      </w:pPr>
      <w:r w:rsidRPr="00A77915">
        <w:rPr>
          <w:color w:val="595959" w:themeColor="text1" w:themeTint="A6"/>
        </w:rPr>
        <w:t>5.1.3. использовать не запрещенные законодательством РФ иные способы защиты своих прав и законных интересов.</w:t>
      </w:r>
    </w:p>
    <w:sectPr w:rsidR="00A9289A" w:rsidRPr="00A77915" w:rsidSect="00A92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89A"/>
    <w:rsid w:val="00045C32"/>
    <w:rsid w:val="000E1E05"/>
    <w:rsid w:val="002623FF"/>
    <w:rsid w:val="0027143A"/>
    <w:rsid w:val="002D3EC4"/>
    <w:rsid w:val="003250F9"/>
    <w:rsid w:val="003374FA"/>
    <w:rsid w:val="00375DE4"/>
    <w:rsid w:val="00513892"/>
    <w:rsid w:val="00525BC6"/>
    <w:rsid w:val="00532DEF"/>
    <w:rsid w:val="005537E7"/>
    <w:rsid w:val="005577B4"/>
    <w:rsid w:val="0058076E"/>
    <w:rsid w:val="005905A1"/>
    <w:rsid w:val="005D77EA"/>
    <w:rsid w:val="006D4632"/>
    <w:rsid w:val="007A5F09"/>
    <w:rsid w:val="00804F80"/>
    <w:rsid w:val="008B0667"/>
    <w:rsid w:val="009654CA"/>
    <w:rsid w:val="00A32D21"/>
    <w:rsid w:val="00A77915"/>
    <w:rsid w:val="00A9289A"/>
    <w:rsid w:val="00AB3C09"/>
    <w:rsid w:val="00B10964"/>
    <w:rsid w:val="00C21C1A"/>
    <w:rsid w:val="00C45379"/>
    <w:rsid w:val="00C52E4F"/>
    <w:rsid w:val="00C93737"/>
    <w:rsid w:val="00CB6DC7"/>
    <w:rsid w:val="00D17BAD"/>
    <w:rsid w:val="00D65037"/>
    <w:rsid w:val="00D84112"/>
    <w:rsid w:val="00DA7735"/>
    <w:rsid w:val="00DD589C"/>
    <w:rsid w:val="00DF0841"/>
    <w:rsid w:val="00E176BA"/>
    <w:rsid w:val="00E32AFA"/>
    <w:rsid w:val="00EA08BF"/>
    <w:rsid w:val="00F7061A"/>
    <w:rsid w:val="00F9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DEF"/>
  </w:style>
  <w:style w:type="character" w:styleId="a4">
    <w:name w:val="Hyperlink"/>
    <w:basedOn w:val="a0"/>
    <w:uiPriority w:val="99"/>
    <w:unhideWhenUsed/>
    <w:rsid w:val="005577B4"/>
    <w:rPr>
      <w:color w:val="0000FF" w:themeColor="hyperlink"/>
      <w:u w:val="single"/>
    </w:rPr>
  </w:style>
  <w:style w:type="character" w:customStyle="1" w:styleId="messagecontactdisplay">
    <w:name w:val="messagecontactdisplay"/>
    <w:basedOn w:val="a0"/>
    <w:rsid w:val="005577B4"/>
  </w:style>
  <w:style w:type="paragraph" w:styleId="a5">
    <w:name w:val="Balloon Text"/>
    <w:basedOn w:val="a"/>
    <w:link w:val="a6"/>
    <w:uiPriority w:val="99"/>
    <w:semiHidden/>
    <w:unhideWhenUsed/>
    <w:rsid w:val="00F95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Тюнинская СОШ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 Семиякин</dc:creator>
  <cp:lastModifiedBy>Геннадий</cp:lastModifiedBy>
  <cp:revision>4</cp:revision>
  <cp:lastPrinted>2022-02-09T07:50:00Z</cp:lastPrinted>
  <dcterms:created xsi:type="dcterms:W3CDTF">2022-02-09T07:53:00Z</dcterms:created>
  <dcterms:modified xsi:type="dcterms:W3CDTF">2022-03-02T05:51:00Z</dcterms:modified>
</cp:coreProperties>
</file>